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Helvetica Neue" w:hAnsi="Helvetica Neue"/>
          <w:rtl w:val="0"/>
          <w:lang w:val="en-US"/>
        </w:rPr>
        <w:t xml:space="preserve">We are pleased to quote the following:   </w:t>
      </w:r>
      <w:r>
        <w:rPr>
          <w:rtl w:val="0"/>
        </w:rPr>
        <w:t xml:space="preserve">    </w:t>
      </w:r>
    </w:p>
    <w:p>
      <w:pPr>
        <w:pStyle w:val="Heading 4"/>
        <w:jc w:val="left"/>
      </w:pPr>
    </w:p>
    <w:p>
      <w:pPr>
        <w:pStyle w:val="Heading 4"/>
      </w:pPr>
      <w:r>
        <w:rPr>
          <w:u w:val="none"/>
        </w:rPr>
        <w:drawing>
          <wp:inline distT="0" distB="0" distL="0" distR="0">
            <wp:extent cx="3799205" cy="2856546"/>
            <wp:effectExtent l="0" t="0" r="0" b="0"/>
            <wp:docPr id="1073741825" name="officeArt object" descr="lewis10fha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wis10fha-c.jpg" descr="lewis10fha-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856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Lewis Straighten and Cut Machine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10 FHA                                                                                   Serial</w:t>
        <w:tab/>
        <w:tab/>
        <w:tab/>
        <w:tab/>
        <w:tab/>
        <w:t>103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.250 - .625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Bed</w:t>
        <w:tab/>
        <w:tab/>
        <w:tab/>
        <w:tab/>
        <w:tab/>
        <w:t>240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  <w:tab/>
        <w:tab/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H.P.</w:t>
        <w:tab/>
        <w:tab/>
        <w:tab/>
        <w:tab/>
        <w:tab/>
        <w:t>60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Year</w:t>
        <w:tab/>
        <w:tab/>
        <w:tab/>
        <w:tab/>
        <w:tab/>
        <w:t>1967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Speed</w:t>
        <w:tab/>
        <w:tab/>
        <w:tab/>
        <w:tab/>
        <w:t xml:space="preserve">115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350 FPM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Feed Rolls</w:t>
        <w:tab/>
        <w:tab/>
        <w:tab/>
        <w:tab/>
        <w:t xml:space="preserve"> 3 sets before and 5 sets after the arbor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58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380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64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20000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603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$ 89,000.00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